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ind w:left="0" w:right="0" w:firstLine="709"/>
        <w:jc w:val="center"/>
        <w:rPr>
          <w:sz w:val="21"/>
        </w:rPr>
      </w:pPr>
      <w:r>
        <w:rPr/>
        <w:t>Вопросы к зачету по «Банковские информационные системы»</w:t>
      </w:r>
    </w:p>
    <w:p>
      <w:pPr>
        <w:pStyle w:val="Normal"/>
        <w:suppressAutoHyphens w:val="false"/>
        <w:ind w:left="0" w:right="0" w:firstLine="709"/>
        <w:jc w:val="both"/>
        <w:rPr>
          <w:sz w:val="21"/>
        </w:rPr>
      </w:pPr>
      <w:r>
        <w:rPr/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 xml:space="preserve">Архитектура АБС. Критерии выбора АБС. 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Темы по основной деятельности банка: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Решение задач аналитического и синтетического учета.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Технологии "Удаленного обслуживания клиентов"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Системы удаленного обслуживания клиентов.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Базовая технология - "Клиент-Банк". «Интернет-банк».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Безналичные расчеты в финансовом секторе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Технологии и системы "Межбанковских расчетов"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Современные платежные системы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Кассовые операции в коммерческом банке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Кредитные операции.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Подсистема "Кредиты". Кредитные риски. Автоматизированные системы скоринга.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Депозитные операции.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Физические лица – клиенты банка. Особенность обслуживания.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Операции с ценными бумагами в банке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Подсистема «Казначейство». Фондовые операции.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Обязательная регламентная отчетность банка. Методы и средства решения задачи формирования отчетности.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Защита сообщений. Электронная цифровая подпись. Методы криптографии.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Технология «WorkFlow» и ее использование в банковских системах.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Критерии оценки на этапе конкурсного выбора АБС.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Критерии оценки качества функционирования АБС.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Автоматизация банковской деятельности. Эволюция систем.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Обзоры рынка программных систем.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Банк и Паевые инвестиционные фонды (ПИФы).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Аналитика в банковской деятельности.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Технология Хранилища данных. Использование в банковской деятельности.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Электронные новации в банковском бизнесе при обслуживании клиентов.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Пластиковые карточки. Системы обслуживания пластиковых карточек.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Унифицированные форматы и стандарты электронных сообщений для безналичных расчетов.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Технология и стандарты обмена данными с ЦБ РФ в формате XML.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Международная система передачи финансовых сообщений "SWIFT". Архитектура. Эволюция системы.</w:t>
      </w:r>
    </w:p>
    <w:p>
      <w:pPr>
        <w:pStyle w:val="Normal"/>
        <w:numPr>
          <w:ilvl w:val="0"/>
          <w:numId w:val="1"/>
        </w:numPr>
        <w:suppressAutoHyphens w:val="false"/>
        <w:ind w:left="0" w:right="0" w:firstLine="340"/>
        <w:jc w:val="both"/>
        <w:rPr>
          <w:sz w:val="21"/>
        </w:rPr>
      </w:pPr>
      <w:r>
        <w:rPr/>
        <w:t>Автоматизация деятельности банка на Фондовых биржах и валютных рынках.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aax</Template>
  <TotalTime>6</TotalTime>
  <Application>LibreOffice/6.0.7.3$Linux_X86_64 LibreOffice_project/00m0$Build-3</Application>
  <Pages>1</Pages>
  <Words>229</Words>
  <Characters>1639</Characters>
  <CharactersWithSpaces>1805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2020-06-10T13:34:19Z</dcterms:created>
  <dc:creator/>
  <dc:description/>
  <dc:language>ru-RU</dc:language>
  <cp:lastModifiedBy/>
  <dcterms:modified xsi:type="dcterms:W3CDTF">2020-06-10T13:40:54Z</dcterms:modified>
  <cp:revision>2</cp:revision>
  <dc:subject/>
  <dc:title>aax</dc:title>
</cp:coreProperties>
</file>